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B24F72" w:rsidRPr="009C77C1" w:rsidRDefault="00B24F72" w:rsidP="00B24F7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B24F72" w:rsidRPr="009C77C1" w:rsidRDefault="00B24F72" w:rsidP="00B24F7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>__ г.</w:t>
      </w:r>
    </w:p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F55C7" w:rsidRDefault="00B24F72" w:rsidP="00B24F72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от </w:t>
      </w:r>
      <w:r>
        <w:rPr>
          <w:rFonts w:ascii="Times New Roman" w:hAnsi="Times New Roman"/>
          <w:sz w:val="20"/>
          <w:szCs w:val="20"/>
          <w:lang w:val="ru-RU"/>
        </w:rPr>
        <w:t>28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ию</w:t>
      </w:r>
      <w:r>
        <w:rPr>
          <w:rFonts w:ascii="Times New Roman" w:hAnsi="Times New Roman"/>
          <w:sz w:val="20"/>
          <w:szCs w:val="20"/>
          <w:lang w:val="ru-RU"/>
        </w:rPr>
        <w:t>н</w:t>
      </w:r>
      <w:r w:rsidRPr="009C77C1">
        <w:rPr>
          <w:rFonts w:ascii="Times New Roman" w:hAnsi="Times New Roman"/>
          <w:sz w:val="20"/>
          <w:szCs w:val="20"/>
          <w:lang w:val="ru-RU"/>
        </w:rPr>
        <w:t>я 201</w:t>
      </w:r>
      <w:r>
        <w:rPr>
          <w:rFonts w:ascii="Times New Roman" w:hAnsi="Times New Roman"/>
          <w:sz w:val="20"/>
          <w:szCs w:val="20"/>
          <w:lang w:val="ru-RU"/>
        </w:rPr>
        <w:t xml:space="preserve">9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г. № 134/45 – </w:t>
      </w:r>
      <w:r>
        <w:rPr>
          <w:rFonts w:ascii="Times New Roman" w:hAnsi="Times New Roman"/>
          <w:sz w:val="20"/>
          <w:szCs w:val="20"/>
          <w:lang w:val="ru-RU"/>
        </w:rPr>
        <w:t>16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F55C7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</w:t>
      </w:r>
    </w:p>
    <w:p w:rsidR="00B24F72" w:rsidRDefault="00B24F72" w:rsidP="00FF55C7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другой стороны, совместно именуемые Стороны, заключили настоящий договор(далее - Договор) о следующем:</w:t>
      </w:r>
    </w:p>
    <w:p w:rsidR="00B24F72" w:rsidRPr="00FF55C7" w:rsidRDefault="00B24F72" w:rsidP="00B24F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24F72" w:rsidRPr="004A0908" w:rsidRDefault="00B24F72" w:rsidP="00B24F72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 w:rsidRPr="004A09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B24F72" w:rsidRPr="004A0908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4F72" w:rsidRDefault="00B24F72" w:rsidP="00B24F72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Исполнитель обязуется предоставить образовательные услуги, а Заказчик обязуется </w:t>
      </w:r>
      <w:r>
        <w:rPr>
          <w:rFonts w:ascii="Times New Roman" w:hAnsi="Times New Roman"/>
          <w:sz w:val="20"/>
          <w:szCs w:val="20"/>
          <w:lang w:val="ru-RU"/>
        </w:rPr>
        <w:t>оплатить</w:t>
      </w:r>
    </w:p>
    <w:p w:rsidR="00B24F72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</w:t>
      </w:r>
    </w:p>
    <w:p w:rsidR="00B24F72" w:rsidRPr="00FF55C7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B24F72" w:rsidRPr="004A0908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6985" t="6350" r="9525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.85pt;margin-top:10.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"/>
            </w:pict>
          </mc:Fallback>
        </mc:AlternateContent>
      </w:r>
      <w:r w:rsidR="00F569C7">
        <w:rPr>
          <w:rFonts w:ascii="Times New Roman" w:hAnsi="Times New Roman"/>
          <w:sz w:val="20"/>
          <w:szCs w:val="20"/>
          <w:lang w:val="ru-RU"/>
        </w:rPr>
        <w:t>Экономика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A0908"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Pr="004A0908"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 w:rsidRPr="004A0908">
        <w:rPr>
          <w:rFonts w:ascii="Times New Roman" w:hAnsi="Times New Roman"/>
          <w:sz w:val="20"/>
          <w:szCs w:val="20"/>
          <w:lang w:val="ru-RU"/>
        </w:rPr>
        <w:t>)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>(наименование образовательной программы высшего образования)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B24F72" w:rsidRPr="009C77C1" w:rsidRDefault="00B24F72" w:rsidP="00B24F72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38.03.0</w:t>
      </w:r>
      <w:r w:rsidR="00F569C7">
        <w:rPr>
          <w:rFonts w:ascii="Times New Roman" w:hAnsi="Times New Roman"/>
          <w:sz w:val="20"/>
          <w:szCs w:val="20"/>
          <w:lang w:val="ru-RU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7620" t="7620" r="952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CV&#10;rOkcTQIAAFY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6985" t="7620" r="952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RGTA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wcji6HI9gpOZpCnBzjlDb2FZM1ckoaGKsxX5Y2k0IAJaSOfBa8vjbWVYWTY4BLKuSMV5Vn&#10;RiVQkwajQX/gA4ysOHVG52b0cpFVGq2x45Z/fItgOXfTciWoBysZptODbjGv9jokr4TDg76gnIO2&#10;J8+HUW80HU6HcSfuX0w7cS/POy9nWdy5mEWXg/xFnmV59NGVFsVJySllwlV3JHIU/x1RDldqT8ET&#10;lU9jCJ+i+3lBsce3L9ov1u1yz4qFpNu5Pi4cuOudD/fMXY7zM+jnf4PJL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aGCE&#10;RkwCAABV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 w:rsidR="00F569C7">
        <w:rPr>
          <w:rFonts w:ascii="Times New Roman" w:hAnsi="Times New Roman"/>
          <w:sz w:val="20"/>
          <w:szCs w:val="20"/>
          <w:lang w:val="ru-RU"/>
        </w:rPr>
        <w:t>Экономика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(код)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  (направления подготовки / наименование специальности)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B24F72" w:rsidRPr="0092432C" w:rsidRDefault="00BC5107" w:rsidP="00B24F72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Финансы и кредит</w:t>
      </w:r>
      <w:bookmarkStart w:id="0" w:name="_GoBack"/>
      <w:bookmarkEnd w:id="0"/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6882C" wp14:editId="5E92F6D2">
                <wp:simplePos x="0" y="0"/>
                <wp:positionH relativeFrom="column">
                  <wp:posOffset>305435</wp:posOffset>
                </wp:positionH>
                <wp:positionV relativeFrom="paragraph">
                  <wp:posOffset>43180</wp:posOffset>
                </wp:positionV>
                <wp:extent cx="5884545" cy="5715"/>
                <wp:effectExtent l="0" t="0" r="20955" b="323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.05pt;margin-top:3.4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"/>
            </w:pict>
          </mc:Fallback>
        </mc:AlternateContent>
      </w:r>
    </w:p>
    <w:p w:rsidR="00B24F72" w:rsidRPr="0092432C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92432C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B24F72" w:rsidRPr="0092432C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FF55C7" w:rsidRPr="00FF55C7" w:rsidRDefault="00FF55C7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6350" r="7620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6350" r="5080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Db&#10;KUlxTAIAAFU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B24F72" w:rsidRPr="009C77C1" w:rsidRDefault="00B24F72" w:rsidP="00B24F72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974505" w:rsidRPr="00FF55C7" w:rsidRDefault="00974505" w:rsidP="00B175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lastRenderedPageBreak/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974505" w:rsidRPr="00FF55C7" w:rsidRDefault="00974505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FF55C7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16"/>
          <w:szCs w:val="16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 федеральным 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расписанием 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1" w:name="page5"/>
      <w:bookmarkEnd w:id="1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FF55C7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16"/>
          <w:szCs w:val="16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 Полная стоимость образовательных услуг за весь период обучения,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которая складывается из стоимостей образовательных услуг, указанных в подп. 4.1.1. – 4.1.6. Договора,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B24F72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164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     </w:t>
      </w:r>
      <w:proofErr w:type="gramStart"/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Сто шестьдесят четыре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тысяч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и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 ).</w:t>
      </w:r>
    </w:p>
    <w:p w:rsidR="0076380E" w:rsidRPr="0076380E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 2020 - 2021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76380E" w:rsidRPr="0076380E" w:rsidRDefault="00B24F72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4.1.2. Стоимость в 2021 - 2022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4.1.3. Стоимость в 2022 - 2023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4.1.4. Стоимость в 2023 - 2024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у 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E64D7D" w:rsidRPr="00A02174" w:rsidRDefault="00E64D7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7638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2" w:name="page7"/>
      <w:bookmarkEnd w:id="2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lastRenderedPageBreak/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995DD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995DD4" w:rsidRDefault="00D06CF0" w:rsidP="00C07661">
      <w:pPr>
        <w:shd w:val="clear" w:color="auto" w:fill="FFFFFF"/>
        <w:spacing w:after="0"/>
        <w:ind w:left="14" w:right="10" w:firstLine="571"/>
        <w:jc w:val="both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995DD4" w:rsidRDefault="00A64C0C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BC5107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62" w:rsidRDefault="00076E62" w:rsidP="00A252AE">
      <w:pPr>
        <w:spacing w:after="0" w:line="240" w:lineRule="auto"/>
      </w:pPr>
      <w:r>
        <w:separator/>
      </w:r>
    </w:p>
  </w:endnote>
  <w:endnote w:type="continuationSeparator" w:id="0">
    <w:p w:rsidR="00076E62" w:rsidRDefault="00076E62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BC5107" w:rsidRPr="00BC5107">
      <w:rPr>
        <w:rFonts w:ascii="Times New Roman" w:hAnsi="Times New Roman"/>
        <w:noProof/>
        <w:sz w:val="18"/>
        <w:szCs w:val="18"/>
        <w:lang w:val="ru-RU"/>
      </w:rPr>
      <w:t>1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62" w:rsidRDefault="00076E62" w:rsidP="00A252AE">
      <w:pPr>
        <w:spacing w:after="0" w:line="240" w:lineRule="auto"/>
      </w:pPr>
      <w:r>
        <w:separator/>
      </w:r>
    </w:p>
  </w:footnote>
  <w:footnote w:type="continuationSeparator" w:id="0">
    <w:p w:rsidR="00076E62" w:rsidRDefault="00076E62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76E62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7344"/>
    <w:rsid w:val="00111C08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41365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2E36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65AB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42BF"/>
    <w:rsid w:val="0045693D"/>
    <w:rsid w:val="0045719A"/>
    <w:rsid w:val="00461D2D"/>
    <w:rsid w:val="00461E29"/>
    <w:rsid w:val="00463ACB"/>
    <w:rsid w:val="00466A31"/>
    <w:rsid w:val="00470391"/>
    <w:rsid w:val="004705FC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380E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947C0"/>
    <w:rsid w:val="0099529B"/>
    <w:rsid w:val="00995DD4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45F02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4F72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5107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569C7"/>
    <w:rsid w:val="00F63B70"/>
    <w:rsid w:val="00F64765"/>
    <w:rsid w:val="00F65656"/>
    <w:rsid w:val="00F660E5"/>
    <w:rsid w:val="00F679BA"/>
    <w:rsid w:val="00F713F3"/>
    <w:rsid w:val="00F73F07"/>
    <w:rsid w:val="00F74495"/>
    <w:rsid w:val="00F80A59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55C7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5DE3-AC05-4532-878A-D5CCFE15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9</cp:revision>
  <cp:lastPrinted>2015-12-07T12:48:00Z</cp:lastPrinted>
  <dcterms:created xsi:type="dcterms:W3CDTF">2020-05-02T18:27:00Z</dcterms:created>
  <dcterms:modified xsi:type="dcterms:W3CDTF">2020-05-02T22:11:00Z</dcterms:modified>
</cp:coreProperties>
</file>